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9E7BBF" w:rsidRPr="00AB6C4E" w:rsidRDefault="003B1F31" w:rsidP="009E7BBF">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54"/>
      <w:r>
        <w:rPr>
          <w:rFonts w:ascii="Arial" w:eastAsiaTheme="majorEastAsia" w:hAnsi="Arial" w:cstheme="majorBidi"/>
          <w:b/>
          <w:bCs/>
          <w:caps/>
          <w:sz w:val="26"/>
          <w:szCs w:val="24"/>
        </w:rPr>
        <w:t xml:space="preserve">navy </w:t>
      </w:r>
      <w:r w:rsidR="009E7BBF">
        <w:rPr>
          <w:rFonts w:ascii="Arial" w:eastAsiaTheme="majorEastAsia" w:hAnsi="Arial" w:cstheme="majorBidi"/>
          <w:b/>
          <w:bCs/>
          <w:caps/>
          <w:sz w:val="26"/>
          <w:szCs w:val="24"/>
        </w:rPr>
        <w:t>ASSISTANT</w:t>
      </w:r>
      <w:r w:rsidR="009E7BBF" w:rsidRPr="00AB6C4E">
        <w:rPr>
          <w:rFonts w:ascii="Arial" w:eastAsiaTheme="majorEastAsia" w:hAnsi="Arial" w:cstheme="majorBidi"/>
          <w:b/>
          <w:bCs/>
          <w:caps/>
          <w:sz w:val="26"/>
          <w:szCs w:val="24"/>
        </w:rPr>
        <w:t xml:space="preserve"> secretary </w:t>
      </w:r>
      <w:bookmarkEnd w:id="1"/>
      <w:r w:rsidR="009E7BBF">
        <w:rPr>
          <w:rFonts w:ascii="Arial" w:eastAsiaTheme="majorEastAsia" w:hAnsi="Arial" w:cstheme="majorBidi"/>
          <w:b/>
          <w:bCs/>
          <w:caps/>
          <w:sz w:val="26"/>
          <w:szCs w:val="24"/>
        </w:rPr>
        <w:t>for research, Development and Acquisition, department of defense</w:t>
      </w:r>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9E7BBF" w:rsidRPr="003B1F3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9E7BBF" w:rsidRPr="003B1F31" w:rsidRDefault="00E37858" w:rsidP="00E37858">
            <w:pPr>
              <w:contextualSpacing/>
              <w:jc w:val="center"/>
              <w:rPr>
                <w:rFonts w:asciiTheme="majorHAnsi" w:hAnsiTheme="majorHAnsi" w:cstheme="majorHAnsi"/>
              </w:rPr>
            </w:pPr>
            <w:r w:rsidRPr="003B1F31">
              <w:rPr>
                <w:rFonts w:asciiTheme="majorHAnsi" w:hAnsiTheme="majorHAnsi" w:cstheme="majorHAnsi"/>
                <w:b/>
              </w:rPr>
              <w:t>Overview</w:t>
            </w:r>
          </w:p>
        </w:tc>
      </w:tr>
      <w:tr w:rsidR="009E7BBF" w:rsidRPr="003B1F3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bCs/>
              </w:rPr>
              <w:t>The mission of the Navy is to maintain, train and equip combat-ready naval forces capable of winning wars, deterring aggression and maintaining freedom of the seas.</w:t>
            </w:r>
          </w:p>
        </w:tc>
      </w:tr>
      <w:tr w:rsidR="009E7BBF" w:rsidRPr="003B1F3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The assistant secretary of the navy for research, development and acquisition serves as the Navy acquisition executive, with authority, responsibility and accountability for all acquisition functions and programs, and for enforcement of undersecretary of defense for acquisition, technology and logistics procedures.</w:t>
            </w:r>
          </w:p>
        </w:tc>
      </w:tr>
      <w:tr w:rsidR="009E7BBF" w:rsidRPr="003B1F3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9E7BBF" w:rsidRPr="003B1F31" w:rsidRDefault="00E47885" w:rsidP="009E7BBF">
            <w:pPr>
              <w:contextualSpacing/>
              <w:rPr>
                <w:rFonts w:asciiTheme="majorHAnsi" w:hAnsiTheme="majorHAnsi" w:cstheme="majorHAnsi"/>
                <w:bCs/>
              </w:rPr>
            </w:pPr>
            <w:r>
              <w:rPr>
                <w:rFonts w:asciiTheme="majorHAnsi" w:hAnsiTheme="majorHAnsi" w:cstheme="majorHAnsi"/>
                <w:bCs/>
              </w:rPr>
              <w:t>Level IV $155,500</w:t>
            </w:r>
            <w:r w:rsidR="009E7BBF" w:rsidRPr="003B1F31">
              <w:rPr>
                <w:rFonts w:asciiTheme="majorHAnsi" w:hAnsiTheme="majorHAnsi" w:cstheme="majorHAnsi"/>
                <w:bCs/>
              </w:rPr>
              <w:t xml:space="preserve"> (5 U.S.C. § 5315)</w:t>
            </w:r>
            <w:r w:rsidR="00DB3C5B" w:rsidRPr="003B1F31">
              <w:rPr>
                <w:rStyle w:val="EndnoteReference"/>
                <w:rFonts w:asciiTheme="majorHAnsi" w:hAnsiTheme="majorHAnsi" w:cstheme="majorHAnsi"/>
                <w:bCs/>
              </w:rPr>
              <w:endnoteReference w:id="1"/>
            </w:r>
          </w:p>
        </w:tc>
      </w:tr>
      <w:tr w:rsidR="009E7BBF" w:rsidRPr="003B1F3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Secretary of the Navy</w:t>
            </w:r>
          </w:p>
        </w:tc>
      </w:tr>
      <w:tr w:rsidR="009E7BBF" w:rsidRPr="003B1F3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9E7BBF" w:rsidRPr="003B1F31" w:rsidRDefault="009E7BBF" w:rsidP="009E7BBF">
            <w:pPr>
              <w:contextualSpacing/>
              <w:rPr>
                <w:rFonts w:asciiTheme="majorHAnsi" w:hAnsiTheme="majorHAnsi" w:cstheme="majorHAnsi"/>
                <w:bCs/>
              </w:rPr>
            </w:pPr>
            <w:r w:rsidRPr="003B1F31">
              <w:rPr>
                <w:rFonts w:asciiTheme="majorHAnsi" w:hAnsiTheme="majorHAnsi" w:cstheme="majorHAnsi"/>
                <w:bCs/>
              </w:rPr>
              <w:t>Armed Services</w:t>
            </w:r>
          </w:p>
        </w:tc>
      </w:tr>
      <w:tr w:rsidR="00684398" w:rsidRPr="003B1F3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3B1F31" w:rsidRDefault="00684398" w:rsidP="00684398">
            <w:pPr>
              <w:jc w:val="center"/>
              <w:rPr>
                <w:rFonts w:asciiTheme="majorHAnsi" w:hAnsiTheme="majorHAnsi" w:cstheme="majorHAnsi"/>
                <w:b/>
              </w:rPr>
            </w:pPr>
            <w:r w:rsidRPr="003B1F31">
              <w:rPr>
                <w:rFonts w:asciiTheme="majorHAnsi" w:hAnsiTheme="majorHAnsi" w:cstheme="majorHAnsi"/>
                <w:b/>
              </w:rPr>
              <w:t>RESPONSIBILITIES</w:t>
            </w:r>
          </w:p>
        </w:tc>
      </w:tr>
      <w:tr w:rsidR="009E7BBF" w:rsidRPr="003B1F3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As the Navy’s acquisition executive, the assistant secretary is responsible for the research, development and acquisition of Navy and Marine Corps platforms and warfare systems, a responsibility that includes oversight of more than 100,000 people and an annual budget exceeding $50 billion. The organization consists of an immediate staff; program executive officers; direct reporting program managers; and the Naval Systems Commands and their field activities. The program executive officers and direct reporting program managers are responsible for the development and acquisition of naval systems. The Naval Systems Commands and their field activities are also responsible for systems acquisition and supporting those systems in the operating fleet.</w:t>
            </w:r>
          </w:p>
        </w:tc>
      </w:tr>
      <w:tr w:rsidR="009E7BBF" w:rsidRPr="003B1F3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9E7BBF" w:rsidRPr="003B1F31" w:rsidRDefault="009E7BBF" w:rsidP="009E7BBF">
            <w:pPr>
              <w:numPr>
                <w:ilvl w:val="0"/>
                <w:numId w:val="34"/>
              </w:numPr>
              <w:ind w:left="360"/>
              <w:contextualSpacing/>
              <w:rPr>
                <w:rFonts w:asciiTheme="majorHAnsi" w:eastAsia="Calibri" w:hAnsiTheme="majorHAnsi" w:cstheme="majorHAnsi"/>
              </w:rPr>
            </w:pPr>
            <w:r w:rsidRPr="003B1F31">
              <w:rPr>
                <w:rFonts w:asciiTheme="majorHAnsi" w:eastAsia="Calibri" w:hAnsiTheme="majorHAnsi" w:cstheme="majorHAnsi"/>
              </w:rPr>
              <w:t xml:space="preserve">Serves as the Navy acquisition executive </w:t>
            </w:r>
            <w:r w:rsidRPr="003B1F31">
              <w:rPr>
                <w:rFonts w:asciiTheme="majorHAnsi" w:hAnsiTheme="majorHAnsi" w:cstheme="majorHAnsi"/>
              </w:rPr>
              <w:t>representing the Navy to the undersecretary of defense for acquisition, technology and logistics and to Congress on all matters relating to acquisition policy and programs</w:t>
            </w:r>
          </w:p>
          <w:p w:rsidR="009E7BBF" w:rsidRPr="003B1F31" w:rsidRDefault="009E7BBF" w:rsidP="009E7BBF">
            <w:pPr>
              <w:numPr>
                <w:ilvl w:val="0"/>
                <w:numId w:val="34"/>
              </w:numPr>
              <w:ind w:left="360"/>
              <w:contextualSpacing/>
              <w:rPr>
                <w:rFonts w:asciiTheme="majorHAnsi" w:eastAsia="Calibri" w:hAnsiTheme="majorHAnsi" w:cstheme="majorHAnsi"/>
              </w:rPr>
            </w:pPr>
            <w:r w:rsidRPr="003B1F31">
              <w:rPr>
                <w:rFonts w:asciiTheme="majorHAnsi" w:hAnsiTheme="majorHAnsi" w:cstheme="majorHAnsi"/>
              </w:rPr>
              <w:t>Establishes policies and procedures, and manages the Navy’s research, development and acquisition activities in accordance with Department of Defense 5000 Series Directives (which are related to the acquisition system)</w:t>
            </w:r>
          </w:p>
          <w:p w:rsidR="009E7BBF" w:rsidRPr="003B1F31" w:rsidRDefault="009E7BBF" w:rsidP="009E7BBF">
            <w:pPr>
              <w:numPr>
                <w:ilvl w:val="0"/>
                <w:numId w:val="34"/>
              </w:numPr>
              <w:ind w:left="360"/>
              <w:contextualSpacing/>
              <w:rPr>
                <w:rFonts w:asciiTheme="majorHAnsi" w:eastAsia="Calibri" w:hAnsiTheme="majorHAnsi" w:cstheme="majorHAnsi"/>
              </w:rPr>
            </w:pPr>
            <w:r w:rsidRPr="003B1F31">
              <w:rPr>
                <w:rFonts w:asciiTheme="majorHAnsi" w:hAnsiTheme="majorHAnsi" w:cstheme="majorHAnsi"/>
              </w:rPr>
              <w:t>Responsible for the development and acquisition of Navy and Marine Corps platforms and weapon systems</w:t>
            </w:r>
          </w:p>
          <w:p w:rsidR="009E7BBF" w:rsidRPr="003B1F31" w:rsidRDefault="009E7BBF" w:rsidP="009E7BBF">
            <w:pPr>
              <w:numPr>
                <w:ilvl w:val="0"/>
                <w:numId w:val="34"/>
              </w:numPr>
              <w:ind w:left="360"/>
              <w:contextualSpacing/>
              <w:rPr>
                <w:rFonts w:asciiTheme="majorHAnsi" w:eastAsia="Calibri" w:hAnsiTheme="majorHAnsi" w:cstheme="majorHAnsi"/>
              </w:rPr>
            </w:pPr>
            <w:r w:rsidRPr="003B1F31">
              <w:rPr>
                <w:rFonts w:asciiTheme="majorHAnsi" w:hAnsiTheme="majorHAnsi" w:cstheme="majorHAnsi"/>
              </w:rPr>
              <w:t>Serves as the Program (Milestone) Decision Authority on Acquisition Category (ACAT) 1C programs and recommends decisions on ACAT 1D programs; (</w:t>
            </w:r>
            <w:r w:rsidRPr="003B1F31">
              <w:rPr>
                <w:rStyle w:val="Strong"/>
                <w:rFonts w:asciiTheme="majorHAnsi" w:hAnsiTheme="majorHAnsi" w:cstheme="majorHAnsi"/>
                <w:color w:val="000000"/>
              </w:rPr>
              <w:t>ACAT I</w:t>
            </w:r>
            <w:r w:rsidRPr="003B1F31">
              <w:rPr>
                <w:rFonts w:asciiTheme="majorHAnsi" w:hAnsiTheme="majorHAnsi" w:cstheme="majorHAnsi"/>
                <w:color w:val="000000"/>
              </w:rPr>
              <w:t xml:space="preserve"> programs are major </w:t>
            </w:r>
            <w:r w:rsidRPr="003B1F31">
              <w:rPr>
                <w:rFonts w:asciiTheme="majorHAnsi" w:hAnsiTheme="majorHAnsi" w:cstheme="majorHAnsi"/>
                <w:color w:val="000000"/>
              </w:rPr>
              <w:lastRenderedPageBreak/>
              <w:t>defense acquisition programs; “C” refers to “component”; “D” refers to the “Defense Acquisition Board”)</w:t>
            </w:r>
          </w:p>
          <w:p w:rsidR="009E7BBF" w:rsidRPr="003B1F31" w:rsidRDefault="009E7BBF" w:rsidP="009E7BBF">
            <w:pPr>
              <w:numPr>
                <w:ilvl w:val="0"/>
                <w:numId w:val="34"/>
              </w:numPr>
              <w:ind w:left="360"/>
              <w:contextualSpacing/>
              <w:rPr>
                <w:rFonts w:asciiTheme="majorHAnsi" w:eastAsia="Calibri" w:hAnsiTheme="majorHAnsi" w:cstheme="majorHAnsi"/>
              </w:rPr>
            </w:pPr>
            <w:r w:rsidRPr="003B1F31">
              <w:rPr>
                <w:rFonts w:asciiTheme="majorHAnsi" w:eastAsia="Calibri" w:hAnsiTheme="majorHAnsi" w:cstheme="majorHAnsi"/>
              </w:rPr>
              <w:t xml:space="preserve">Oversees the operation of the Navy’s principal subordinate System Commands, which include the following: </w:t>
            </w:r>
          </w:p>
          <w:p w:rsidR="009E7BBF" w:rsidRPr="003B1F31" w:rsidRDefault="009E7BBF" w:rsidP="009E7BBF">
            <w:pPr>
              <w:pStyle w:val="ListParagraph"/>
              <w:numPr>
                <w:ilvl w:val="0"/>
                <w:numId w:val="39"/>
              </w:numPr>
              <w:rPr>
                <w:rFonts w:asciiTheme="majorHAnsi" w:eastAsia="Calibri" w:hAnsiTheme="majorHAnsi" w:cstheme="majorHAnsi"/>
              </w:rPr>
            </w:pPr>
            <w:r w:rsidRPr="003B1F31">
              <w:rPr>
                <w:rFonts w:asciiTheme="majorHAnsi" w:eastAsia="Calibri" w:hAnsiTheme="majorHAnsi" w:cstheme="majorHAnsi"/>
              </w:rPr>
              <w:t xml:space="preserve">Naval Air Systems Command </w:t>
            </w:r>
          </w:p>
          <w:p w:rsidR="009E7BBF" w:rsidRPr="003B1F31" w:rsidRDefault="009E7BBF" w:rsidP="009E7BBF">
            <w:pPr>
              <w:pStyle w:val="ListParagraph"/>
              <w:numPr>
                <w:ilvl w:val="0"/>
                <w:numId w:val="39"/>
              </w:numPr>
              <w:rPr>
                <w:rFonts w:asciiTheme="majorHAnsi" w:eastAsia="Calibri" w:hAnsiTheme="majorHAnsi" w:cstheme="majorHAnsi"/>
              </w:rPr>
            </w:pPr>
            <w:r w:rsidRPr="003B1F31">
              <w:rPr>
                <w:rFonts w:asciiTheme="majorHAnsi" w:eastAsia="Calibri" w:hAnsiTheme="majorHAnsi" w:cstheme="majorHAnsi"/>
              </w:rPr>
              <w:t xml:space="preserve">Naval Sea Systems Command </w:t>
            </w:r>
          </w:p>
          <w:p w:rsidR="009E7BBF" w:rsidRPr="003B1F31" w:rsidRDefault="009E7BBF" w:rsidP="009E7BBF">
            <w:pPr>
              <w:pStyle w:val="ListParagraph"/>
              <w:numPr>
                <w:ilvl w:val="0"/>
                <w:numId w:val="39"/>
              </w:numPr>
              <w:rPr>
                <w:rFonts w:asciiTheme="majorHAnsi" w:eastAsia="Calibri" w:hAnsiTheme="majorHAnsi" w:cstheme="majorHAnsi"/>
              </w:rPr>
            </w:pPr>
            <w:r w:rsidRPr="003B1F31">
              <w:rPr>
                <w:rFonts w:asciiTheme="majorHAnsi" w:eastAsia="Calibri" w:hAnsiTheme="majorHAnsi" w:cstheme="majorHAnsi"/>
              </w:rPr>
              <w:t xml:space="preserve">Space and Naval Warfare Command </w:t>
            </w:r>
          </w:p>
          <w:p w:rsidR="009E7BBF" w:rsidRPr="003B1F31" w:rsidRDefault="009E7BBF" w:rsidP="009E7BBF">
            <w:pPr>
              <w:pStyle w:val="ListParagraph"/>
              <w:numPr>
                <w:ilvl w:val="0"/>
                <w:numId w:val="39"/>
              </w:numPr>
              <w:rPr>
                <w:rFonts w:asciiTheme="majorHAnsi" w:eastAsia="Calibri" w:hAnsiTheme="majorHAnsi" w:cstheme="majorHAnsi"/>
              </w:rPr>
            </w:pPr>
            <w:r w:rsidRPr="003B1F31">
              <w:rPr>
                <w:rFonts w:asciiTheme="majorHAnsi" w:eastAsia="Calibri" w:hAnsiTheme="majorHAnsi" w:cstheme="majorHAnsi"/>
              </w:rPr>
              <w:t xml:space="preserve">Navy Supply Systems Command </w:t>
            </w:r>
          </w:p>
          <w:p w:rsidR="009E7BBF" w:rsidRPr="003B1F31" w:rsidRDefault="009E7BBF" w:rsidP="009E7BBF">
            <w:pPr>
              <w:pStyle w:val="ListParagraph"/>
              <w:numPr>
                <w:ilvl w:val="0"/>
                <w:numId w:val="39"/>
              </w:numPr>
              <w:rPr>
                <w:rFonts w:asciiTheme="majorHAnsi" w:eastAsia="Calibri" w:hAnsiTheme="majorHAnsi" w:cstheme="majorHAnsi"/>
              </w:rPr>
            </w:pPr>
            <w:r w:rsidRPr="003B1F31">
              <w:rPr>
                <w:rFonts w:asciiTheme="majorHAnsi" w:eastAsia="Calibri" w:hAnsiTheme="majorHAnsi" w:cstheme="majorHAnsi"/>
              </w:rPr>
              <w:t xml:space="preserve">Navy Facilities Engineering Command </w:t>
            </w:r>
          </w:p>
          <w:p w:rsidR="009E7BBF" w:rsidRPr="003B1F31" w:rsidRDefault="009E7BBF" w:rsidP="009E7BBF">
            <w:pPr>
              <w:pStyle w:val="ListParagraph"/>
              <w:numPr>
                <w:ilvl w:val="0"/>
                <w:numId w:val="39"/>
              </w:numPr>
              <w:rPr>
                <w:rFonts w:asciiTheme="majorHAnsi" w:eastAsia="Calibri" w:hAnsiTheme="majorHAnsi" w:cstheme="majorHAnsi"/>
              </w:rPr>
            </w:pPr>
            <w:r w:rsidRPr="003B1F31">
              <w:rPr>
                <w:rFonts w:asciiTheme="majorHAnsi" w:eastAsia="Calibri" w:hAnsiTheme="majorHAnsi" w:cstheme="majorHAnsi"/>
              </w:rPr>
              <w:t xml:space="preserve">Marine Corps Systems Command </w:t>
            </w:r>
          </w:p>
          <w:p w:rsidR="009E7BBF" w:rsidRPr="003B1F31" w:rsidRDefault="009E7BBF" w:rsidP="009E7BBF">
            <w:pPr>
              <w:pStyle w:val="ListParagraph"/>
              <w:numPr>
                <w:ilvl w:val="0"/>
                <w:numId w:val="39"/>
              </w:numPr>
              <w:rPr>
                <w:rFonts w:asciiTheme="majorHAnsi" w:eastAsia="Calibri" w:hAnsiTheme="majorHAnsi" w:cstheme="majorHAnsi"/>
              </w:rPr>
            </w:pPr>
            <w:r w:rsidRPr="003B1F31">
              <w:rPr>
                <w:rFonts w:asciiTheme="majorHAnsi" w:eastAsia="Calibri" w:hAnsiTheme="majorHAnsi" w:cstheme="majorHAnsi"/>
              </w:rPr>
              <w:t>Office of Naval Research</w:t>
            </w:r>
          </w:p>
          <w:p w:rsidR="009E7BBF" w:rsidRPr="003B1F31" w:rsidRDefault="009E7BBF" w:rsidP="009E7BBF">
            <w:pPr>
              <w:numPr>
                <w:ilvl w:val="0"/>
                <w:numId w:val="34"/>
              </w:numPr>
              <w:ind w:left="360"/>
              <w:contextualSpacing/>
              <w:rPr>
                <w:rFonts w:asciiTheme="majorHAnsi" w:eastAsia="Calibri" w:hAnsiTheme="majorHAnsi" w:cstheme="majorHAnsi"/>
              </w:rPr>
            </w:pPr>
            <w:r w:rsidRPr="003B1F31">
              <w:rPr>
                <w:rFonts w:asciiTheme="majorHAnsi" w:hAnsiTheme="majorHAnsi" w:cstheme="majorHAnsi"/>
                <w:bCs/>
              </w:rPr>
              <w:t xml:space="preserve">Manages and supervises </w:t>
            </w:r>
            <w:r w:rsidRPr="003B1F31">
              <w:rPr>
                <w:rStyle w:val="s1"/>
                <w:rFonts w:asciiTheme="majorHAnsi" w:hAnsiTheme="majorHAnsi" w:cstheme="majorHAnsi"/>
              </w:rPr>
              <w:t>programs and policy</w:t>
            </w:r>
            <w:r w:rsidRPr="003B1F31">
              <w:rPr>
                <w:rFonts w:asciiTheme="majorHAnsi" w:hAnsiTheme="majorHAnsi" w:cstheme="majorHAnsi"/>
                <w:bCs/>
              </w:rPr>
              <w:t xml:space="preserve"> through the deputy assistant secretaries of the Navy for:</w:t>
            </w:r>
          </w:p>
          <w:p w:rsidR="009E7BBF" w:rsidRPr="003B1F31" w:rsidRDefault="009E7BBF" w:rsidP="009E7BBF">
            <w:pPr>
              <w:numPr>
                <w:ilvl w:val="0"/>
                <w:numId w:val="40"/>
              </w:numPr>
              <w:contextualSpacing/>
              <w:rPr>
                <w:rFonts w:asciiTheme="majorHAnsi" w:eastAsia="Calibri" w:hAnsiTheme="majorHAnsi" w:cstheme="majorHAnsi"/>
              </w:rPr>
            </w:pPr>
            <w:r w:rsidRPr="003B1F31">
              <w:rPr>
                <w:rFonts w:asciiTheme="majorHAnsi" w:hAnsiTheme="majorHAnsi" w:cstheme="majorHAnsi"/>
                <w:bCs/>
              </w:rPr>
              <w:t>Ships</w:t>
            </w:r>
          </w:p>
          <w:p w:rsidR="009E7BBF" w:rsidRPr="003B1F31" w:rsidRDefault="009E7BBF" w:rsidP="009E7BBF">
            <w:pPr>
              <w:numPr>
                <w:ilvl w:val="0"/>
                <w:numId w:val="40"/>
              </w:numPr>
              <w:contextualSpacing/>
              <w:rPr>
                <w:rFonts w:asciiTheme="majorHAnsi" w:eastAsia="Calibri" w:hAnsiTheme="majorHAnsi" w:cstheme="majorHAnsi"/>
              </w:rPr>
            </w:pPr>
            <w:r w:rsidRPr="003B1F31">
              <w:rPr>
                <w:rFonts w:asciiTheme="majorHAnsi" w:hAnsiTheme="majorHAnsi" w:cstheme="majorHAnsi"/>
                <w:bCs/>
              </w:rPr>
              <w:t>Research Development Test and Evaluation</w:t>
            </w:r>
          </w:p>
          <w:p w:rsidR="009E7BBF" w:rsidRPr="003B1F31" w:rsidRDefault="009E7BBF" w:rsidP="009E7BBF">
            <w:pPr>
              <w:numPr>
                <w:ilvl w:val="0"/>
                <w:numId w:val="40"/>
              </w:numPr>
              <w:contextualSpacing/>
              <w:rPr>
                <w:rFonts w:asciiTheme="majorHAnsi" w:eastAsia="Calibri" w:hAnsiTheme="majorHAnsi" w:cstheme="majorHAnsi"/>
              </w:rPr>
            </w:pPr>
            <w:r w:rsidRPr="003B1F31">
              <w:rPr>
                <w:rFonts w:asciiTheme="majorHAnsi" w:hAnsiTheme="majorHAnsi" w:cstheme="majorHAnsi"/>
                <w:bCs/>
              </w:rPr>
              <w:t>Air</w:t>
            </w:r>
          </w:p>
          <w:p w:rsidR="009E7BBF" w:rsidRPr="003B1F31" w:rsidRDefault="009E7BBF" w:rsidP="009E7BBF">
            <w:pPr>
              <w:numPr>
                <w:ilvl w:val="0"/>
                <w:numId w:val="40"/>
              </w:numPr>
              <w:contextualSpacing/>
              <w:rPr>
                <w:rFonts w:asciiTheme="majorHAnsi" w:eastAsia="Calibri" w:hAnsiTheme="majorHAnsi" w:cstheme="majorHAnsi"/>
              </w:rPr>
            </w:pPr>
            <w:r w:rsidRPr="003B1F31">
              <w:rPr>
                <w:rFonts w:asciiTheme="majorHAnsi" w:hAnsiTheme="majorHAnsi" w:cstheme="majorHAnsi"/>
                <w:bCs/>
              </w:rPr>
              <w:t>Management and Budget</w:t>
            </w:r>
          </w:p>
          <w:p w:rsidR="009E7BBF" w:rsidRPr="003B1F31" w:rsidRDefault="009E7BBF" w:rsidP="009E7BBF">
            <w:pPr>
              <w:numPr>
                <w:ilvl w:val="0"/>
                <w:numId w:val="40"/>
              </w:numPr>
              <w:contextualSpacing/>
              <w:rPr>
                <w:rFonts w:asciiTheme="majorHAnsi" w:eastAsia="Calibri" w:hAnsiTheme="majorHAnsi" w:cstheme="majorHAnsi"/>
              </w:rPr>
            </w:pPr>
            <w:r w:rsidRPr="003B1F31">
              <w:rPr>
                <w:rFonts w:asciiTheme="majorHAnsi" w:hAnsiTheme="majorHAnsi" w:cstheme="majorHAnsi"/>
                <w:bCs/>
              </w:rPr>
              <w:t>Expeditionary Programs and Logistics Management</w:t>
            </w:r>
          </w:p>
          <w:p w:rsidR="009E7BBF" w:rsidRPr="003B1F31" w:rsidRDefault="009E7BBF" w:rsidP="009E7BBF">
            <w:pPr>
              <w:numPr>
                <w:ilvl w:val="0"/>
                <w:numId w:val="40"/>
              </w:numPr>
              <w:contextualSpacing/>
              <w:rPr>
                <w:rFonts w:asciiTheme="majorHAnsi" w:eastAsia="Calibri" w:hAnsiTheme="majorHAnsi" w:cstheme="majorHAnsi"/>
              </w:rPr>
            </w:pPr>
            <w:r w:rsidRPr="003B1F31">
              <w:rPr>
                <w:rFonts w:asciiTheme="majorHAnsi" w:hAnsiTheme="majorHAnsi" w:cstheme="majorHAnsi"/>
                <w:bCs/>
              </w:rPr>
              <w:t>International Programs</w:t>
            </w:r>
          </w:p>
          <w:p w:rsidR="009E7BBF" w:rsidRPr="003B1F31" w:rsidRDefault="009E7BBF" w:rsidP="009E7BBF">
            <w:pPr>
              <w:pStyle w:val="p1"/>
              <w:numPr>
                <w:ilvl w:val="0"/>
                <w:numId w:val="40"/>
              </w:numPr>
              <w:contextualSpacing/>
              <w:rPr>
                <w:rFonts w:asciiTheme="majorHAnsi" w:hAnsiTheme="majorHAnsi" w:cstheme="majorHAnsi"/>
                <w:color w:val="auto"/>
                <w:sz w:val="22"/>
                <w:szCs w:val="22"/>
              </w:rPr>
            </w:pPr>
            <w:r w:rsidRPr="003B1F31">
              <w:rPr>
                <w:rStyle w:val="s1"/>
                <w:rFonts w:asciiTheme="majorHAnsi" w:hAnsiTheme="majorHAnsi" w:cstheme="majorHAnsi"/>
                <w:color w:val="auto"/>
                <w:sz w:val="22"/>
                <w:szCs w:val="22"/>
              </w:rPr>
              <w:t>Command, Control, Communications, Computers, Intelligence and Space</w:t>
            </w:r>
          </w:p>
          <w:p w:rsidR="009E7BBF" w:rsidRPr="003B1F31" w:rsidRDefault="009E7BBF" w:rsidP="009E7BBF">
            <w:pPr>
              <w:numPr>
                <w:ilvl w:val="0"/>
                <w:numId w:val="40"/>
              </w:numPr>
              <w:contextualSpacing/>
              <w:rPr>
                <w:rFonts w:asciiTheme="majorHAnsi" w:eastAsia="Calibri" w:hAnsiTheme="majorHAnsi" w:cstheme="majorHAnsi"/>
              </w:rPr>
            </w:pPr>
            <w:r w:rsidRPr="003B1F31">
              <w:rPr>
                <w:rFonts w:asciiTheme="majorHAnsi" w:eastAsia="Calibri" w:hAnsiTheme="majorHAnsi" w:cstheme="majorHAnsi"/>
              </w:rPr>
              <w:t>Acquisition and Procurement</w:t>
            </w:r>
          </w:p>
          <w:p w:rsidR="009E7BBF" w:rsidRPr="003B1F31" w:rsidRDefault="009E7BBF" w:rsidP="009E7BBF">
            <w:pPr>
              <w:numPr>
                <w:ilvl w:val="0"/>
                <w:numId w:val="40"/>
              </w:numPr>
              <w:contextualSpacing/>
              <w:rPr>
                <w:rFonts w:asciiTheme="majorHAnsi" w:eastAsia="Calibri" w:hAnsiTheme="majorHAnsi" w:cstheme="majorHAnsi"/>
              </w:rPr>
            </w:pPr>
            <w:r w:rsidRPr="003B1F31">
              <w:rPr>
                <w:rFonts w:asciiTheme="majorHAnsi" w:eastAsia="Calibri" w:hAnsiTheme="majorHAnsi" w:cstheme="majorHAnsi"/>
              </w:rPr>
              <w:t>Unmanned Systems</w:t>
            </w:r>
          </w:p>
          <w:p w:rsidR="009E7BBF" w:rsidRPr="003B1F31" w:rsidRDefault="009E7BBF" w:rsidP="009E7BBF">
            <w:pPr>
              <w:numPr>
                <w:ilvl w:val="0"/>
                <w:numId w:val="34"/>
              </w:numPr>
              <w:ind w:left="360"/>
              <w:contextualSpacing/>
              <w:rPr>
                <w:rFonts w:asciiTheme="majorHAnsi" w:eastAsia="Calibri" w:hAnsiTheme="majorHAnsi" w:cstheme="majorHAnsi"/>
              </w:rPr>
            </w:pPr>
            <w:r w:rsidRPr="003B1F31">
              <w:rPr>
                <w:rFonts w:asciiTheme="majorHAnsi" w:eastAsia="Calibri" w:hAnsiTheme="majorHAnsi" w:cstheme="majorHAnsi"/>
              </w:rPr>
              <w:t xml:space="preserve">Exercises management and oversight of the following </w:t>
            </w:r>
            <w:r w:rsidRPr="003B1F31">
              <w:rPr>
                <w:rFonts w:asciiTheme="majorHAnsi" w:hAnsiTheme="majorHAnsi" w:cstheme="majorHAnsi"/>
              </w:rPr>
              <w:t xml:space="preserve"> program executive officers</w:t>
            </w:r>
            <w:r w:rsidRPr="003B1F31">
              <w:rPr>
                <w:rFonts w:asciiTheme="majorHAnsi" w:eastAsia="Calibri" w:hAnsiTheme="majorHAnsi" w:cstheme="majorHAnsi"/>
              </w:rPr>
              <w:t xml:space="preserve"> responsible for all aspects of life-cycle management in the assigned programs:</w:t>
            </w:r>
          </w:p>
          <w:p w:rsidR="009E7BBF" w:rsidRPr="003B1F31" w:rsidRDefault="009E7BBF" w:rsidP="009E7BBF">
            <w:pPr>
              <w:numPr>
                <w:ilvl w:val="0"/>
                <w:numId w:val="41"/>
              </w:numPr>
              <w:contextualSpacing/>
              <w:rPr>
                <w:rFonts w:asciiTheme="majorHAnsi" w:eastAsia="Calibri" w:hAnsiTheme="majorHAnsi" w:cstheme="majorHAnsi"/>
              </w:rPr>
            </w:pPr>
            <w:r w:rsidRPr="003B1F31">
              <w:rPr>
                <w:rFonts w:asciiTheme="majorHAnsi" w:eastAsia="Calibri" w:hAnsiTheme="majorHAnsi" w:cstheme="majorHAnsi"/>
              </w:rPr>
              <w:t>Joint Strike Fighter</w:t>
            </w:r>
          </w:p>
          <w:p w:rsidR="009E7BBF" w:rsidRPr="003B1F31" w:rsidRDefault="009E7BBF" w:rsidP="009E7BBF">
            <w:pPr>
              <w:numPr>
                <w:ilvl w:val="0"/>
                <w:numId w:val="41"/>
              </w:numPr>
              <w:contextualSpacing/>
              <w:rPr>
                <w:rFonts w:asciiTheme="majorHAnsi" w:eastAsia="Calibri" w:hAnsiTheme="majorHAnsi" w:cstheme="majorHAnsi"/>
              </w:rPr>
            </w:pPr>
            <w:r w:rsidRPr="003B1F31">
              <w:rPr>
                <w:rFonts w:asciiTheme="majorHAnsi" w:eastAsia="Calibri" w:hAnsiTheme="majorHAnsi" w:cstheme="majorHAnsi"/>
              </w:rPr>
              <w:t xml:space="preserve">Integrated Warfare Systems </w:t>
            </w:r>
          </w:p>
          <w:p w:rsidR="009E7BBF" w:rsidRPr="003B1F31" w:rsidRDefault="009E7BBF" w:rsidP="009E7BBF">
            <w:pPr>
              <w:numPr>
                <w:ilvl w:val="0"/>
                <w:numId w:val="41"/>
              </w:numPr>
              <w:contextualSpacing/>
              <w:rPr>
                <w:rFonts w:asciiTheme="majorHAnsi" w:eastAsia="Calibri" w:hAnsiTheme="majorHAnsi" w:cstheme="majorHAnsi"/>
              </w:rPr>
            </w:pPr>
            <w:r w:rsidRPr="003B1F31">
              <w:rPr>
                <w:rFonts w:asciiTheme="majorHAnsi" w:eastAsia="Calibri" w:hAnsiTheme="majorHAnsi" w:cstheme="majorHAnsi"/>
              </w:rPr>
              <w:t>Enterprise Information Systems</w:t>
            </w:r>
          </w:p>
          <w:p w:rsidR="009E7BBF" w:rsidRPr="003B1F31" w:rsidRDefault="009E7BBF" w:rsidP="009E7BBF">
            <w:pPr>
              <w:numPr>
                <w:ilvl w:val="0"/>
                <w:numId w:val="41"/>
              </w:numPr>
              <w:contextualSpacing/>
              <w:rPr>
                <w:rFonts w:asciiTheme="majorHAnsi" w:eastAsia="Calibri" w:hAnsiTheme="majorHAnsi" w:cstheme="majorHAnsi"/>
              </w:rPr>
            </w:pPr>
            <w:r w:rsidRPr="003B1F31">
              <w:rPr>
                <w:rFonts w:asciiTheme="majorHAnsi" w:eastAsia="Calibri" w:hAnsiTheme="majorHAnsi" w:cstheme="majorHAnsi"/>
              </w:rPr>
              <w:t>Strategic Systems Program</w:t>
            </w:r>
          </w:p>
          <w:p w:rsidR="009E7BBF" w:rsidRPr="003B1F31" w:rsidRDefault="009E7BBF" w:rsidP="009E7BBF">
            <w:pPr>
              <w:numPr>
                <w:ilvl w:val="0"/>
                <w:numId w:val="41"/>
              </w:numPr>
              <w:contextualSpacing/>
              <w:rPr>
                <w:rFonts w:asciiTheme="majorHAnsi" w:eastAsia="Calibri" w:hAnsiTheme="majorHAnsi" w:cstheme="majorHAnsi"/>
              </w:rPr>
            </w:pPr>
            <w:r w:rsidRPr="003B1F31">
              <w:rPr>
                <w:rFonts w:asciiTheme="majorHAnsi" w:eastAsia="Calibri" w:hAnsiTheme="majorHAnsi" w:cstheme="majorHAnsi"/>
              </w:rPr>
              <w:t>Submarines</w:t>
            </w:r>
          </w:p>
          <w:p w:rsidR="009E7BBF" w:rsidRPr="003B1F31" w:rsidRDefault="009E7BBF" w:rsidP="009E7BBF">
            <w:pPr>
              <w:numPr>
                <w:ilvl w:val="0"/>
                <w:numId w:val="41"/>
              </w:numPr>
              <w:contextualSpacing/>
              <w:rPr>
                <w:rFonts w:asciiTheme="majorHAnsi" w:eastAsia="Calibri" w:hAnsiTheme="majorHAnsi" w:cstheme="majorHAnsi"/>
              </w:rPr>
            </w:pPr>
            <w:r w:rsidRPr="003B1F31">
              <w:rPr>
                <w:rFonts w:asciiTheme="majorHAnsi" w:eastAsia="Calibri" w:hAnsiTheme="majorHAnsi" w:cstheme="majorHAnsi"/>
              </w:rPr>
              <w:t>Aircraft Carriers</w:t>
            </w:r>
          </w:p>
          <w:p w:rsidR="009E7BBF" w:rsidRPr="003B1F31" w:rsidRDefault="009E7BBF" w:rsidP="009E7BBF">
            <w:pPr>
              <w:numPr>
                <w:ilvl w:val="0"/>
                <w:numId w:val="41"/>
              </w:numPr>
              <w:contextualSpacing/>
              <w:rPr>
                <w:rStyle w:val="s1"/>
                <w:rFonts w:asciiTheme="majorHAnsi" w:eastAsia="Calibri" w:hAnsiTheme="majorHAnsi" w:cstheme="majorHAnsi"/>
              </w:rPr>
            </w:pPr>
            <w:r w:rsidRPr="003B1F31">
              <w:rPr>
                <w:rStyle w:val="s1"/>
                <w:rFonts w:asciiTheme="majorHAnsi" w:hAnsiTheme="majorHAnsi" w:cstheme="majorHAnsi"/>
              </w:rPr>
              <w:t xml:space="preserve">Command, Control, Communications, Computers, and Intelligence </w:t>
            </w:r>
          </w:p>
          <w:p w:rsidR="009E7BBF" w:rsidRPr="003B1F31" w:rsidRDefault="009E7BBF" w:rsidP="009E7BBF">
            <w:pPr>
              <w:numPr>
                <w:ilvl w:val="0"/>
                <w:numId w:val="41"/>
              </w:numPr>
              <w:contextualSpacing/>
              <w:rPr>
                <w:rStyle w:val="s1"/>
                <w:rFonts w:asciiTheme="majorHAnsi" w:eastAsia="Calibri" w:hAnsiTheme="majorHAnsi" w:cstheme="majorHAnsi"/>
              </w:rPr>
            </w:pPr>
            <w:r w:rsidRPr="003B1F31">
              <w:rPr>
                <w:rStyle w:val="s1"/>
                <w:rFonts w:asciiTheme="majorHAnsi" w:hAnsiTheme="majorHAnsi" w:cstheme="majorHAnsi"/>
              </w:rPr>
              <w:t>Ships</w:t>
            </w:r>
          </w:p>
          <w:p w:rsidR="009E7BBF" w:rsidRPr="003B1F31" w:rsidRDefault="009E7BBF" w:rsidP="009E7BBF">
            <w:pPr>
              <w:numPr>
                <w:ilvl w:val="0"/>
                <w:numId w:val="41"/>
              </w:numPr>
              <w:contextualSpacing/>
              <w:rPr>
                <w:rStyle w:val="s1"/>
                <w:rFonts w:asciiTheme="majorHAnsi" w:eastAsia="Calibri" w:hAnsiTheme="majorHAnsi" w:cstheme="majorHAnsi"/>
              </w:rPr>
            </w:pPr>
            <w:r w:rsidRPr="003B1F31">
              <w:rPr>
                <w:rStyle w:val="s1"/>
                <w:rFonts w:asciiTheme="majorHAnsi" w:hAnsiTheme="majorHAnsi" w:cstheme="majorHAnsi"/>
              </w:rPr>
              <w:t>Space Systems</w:t>
            </w:r>
          </w:p>
          <w:p w:rsidR="009E7BBF" w:rsidRPr="003B1F31" w:rsidRDefault="009E7BBF" w:rsidP="009E7BBF">
            <w:pPr>
              <w:numPr>
                <w:ilvl w:val="0"/>
                <w:numId w:val="41"/>
              </w:numPr>
              <w:contextualSpacing/>
              <w:rPr>
                <w:rStyle w:val="s1"/>
                <w:rFonts w:asciiTheme="majorHAnsi" w:eastAsia="Calibri" w:hAnsiTheme="majorHAnsi" w:cstheme="majorHAnsi"/>
              </w:rPr>
            </w:pPr>
            <w:r w:rsidRPr="003B1F31">
              <w:rPr>
                <w:rStyle w:val="s1"/>
                <w:rFonts w:asciiTheme="majorHAnsi" w:hAnsiTheme="majorHAnsi" w:cstheme="majorHAnsi"/>
              </w:rPr>
              <w:t>Air Anti-Submarine Warfare Assault and Special Missions</w:t>
            </w:r>
          </w:p>
          <w:p w:rsidR="009E7BBF" w:rsidRPr="003B1F31" w:rsidRDefault="009E7BBF" w:rsidP="009E7BBF">
            <w:pPr>
              <w:numPr>
                <w:ilvl w:val="0"/>
                <w:numId w:val="41"/>
              </w:numPr>
              <w:contextualSpacing/>
              <w:rPr>
                <w:rStyle w:val="s1"/>
                <w:rFonts w:asciiTheme="majorHAnsi" w:eastAsia="Calibri" w:hAnsiTheme="majorHAnsi" w:cstheme="majorHAnsi"/>
              </w:rPr>
            </w:pPr>
            <w:r w:rsidRPr="003B1F31">
              <w:rPr>
                <w:rStyle w:val="s1"/>
                <w:rFonts w:asciiTheme="majorHAnsi" w:hAnsiTheme="majorHAnsi" w:cstheme="majorHAnsi"/>
              </w:rPr>
              <w:t>Littoral Combat Ships</w:t>
            </w:r>
          </w:p>
          <w:p w:rsidR="009E7BBF" w:rsidRPr="003B1F31" w:rsidRDefault="009E7BBF" w:rsidP="009E7BBF">
            <w:pPr>
              <w:numPr>
                <w:ilvl w:val="0"/>
                <w:numId w:val="41"/>
              </w:numPr>
              <w:contextualSpacing/>
              <w:rPr>
                <w:rStyle w:val="s1"/>
                <w:rFonts w:asciiTheme="majorHAnsi" w:eastAsia="Calibri" w:hAnsiTheme="majorHAnsi" w:cstheme="majorHAnsi"/>
              </w:rPr>
            </w:pPr>
            <w:r w:rsidRPr="003B1F31">
              <w:rPr>
                <w:rStyle w:val="s1"/>
                <w:rFonts w:asciiTheme="majorHAnsi" w:hAnsiTheme="majorHAnsi" w:cstheme="majorHAnsi"/>
              </w:rPr>
              <w:t>Tactical Air</w:t>
            </w:r>
          </w:p>
          <w:p w:rsidR="009E7BBF" w:rsidRPr="003B1F31" w:rsidRDefault="009E7BBF" w:rsidP="009E7BBF">
            <w:pPr>
              <w:numPr>
                <w:ilvl w:val="0"/>
                <w:numId w:val="41"/>
              </w:numPr>
              <w:contextualSpacing/>
              <w:rPr>
                <w:rStyle w:val="s1"/>
                <w:rFonts w:asciiTheme="majorHAnsi" w:eastAsia="Calibri" w:hAnsiTheme="majorHAnsi" w:cstheme="majorHAnsi"/>
              </w:rPr>
            </w:pPr>
            <w:r w:rsidRPr="003B1F31">
              <w:rPr>
                <w:rStyle w:val="s1"/>
                <w:rFonts w:asciiTheme="majorHAnsi" w:hAnsiTheme="majorHAnsi" w:cstheme="majorHAnsi"/>
              </w:rPr>
              <w:t>Unmanned Aviation and Strike Weapons</w:t>
            </w:r>
          </w:p>
          <w:p w:rsidR="009E7BBF" w:rsidRPr="003B1F31" w:rsidRDefault="009E7BBF" w:rsidP="009E7BBF">
            <w:pPr>
              <w:numPr>
                <w:ilvl w:val="0"/>
                <w:numId w:val="41"/>
              </w:numPr>
              <w:contextualSpacing/>
              <w:rPr>
                <w:rFonts w:asciiTheme="majorHAnsi" w:eastAsia="Calibri" w:hAnsiTheme="majorHAnsi" w:cstheme="majorHAnsi"/>
              </w:rPr>
            </w:pPr>
            <w:r w:rsidRPr="003B1F31">
              <w:rPr>
                <w:rStyle w:val="s1"/>
                <w:rFonts w:asciiTheme="majorHAnsi" w:hAnsiTheme="majorHAnsi" w:cstheme="majorHAnsi"/>
              </w:rPr>
              <w:t>Land Systems</w:t>
            </w:r>
          </w:p>
          <w:p w:rsidR="009E7BBF" w:rsidRPr="003B1F31" w:rsidRDefault="009E7BBF" w:rsidP="009E7BBF">
            <w:pPr>
              <w:numPr>
                <w:ilvl w:val="0"/>
                <w:numId w:val="34"/>
              </w:numPr>
              <w:ind w:left="360"/>
              <w:contextualSpacing/>
              <w:rPr>
                <w:rFonts w:asciiTheme="majorHAnsi" w:eastAsia="Calibri" w:hAnsiTheme="majorHAnsi" w:cstheme="majorHAnsi"/>
              </w:rPr>
            </w:pPr>
            <w:r w:rsidRPr="003B1F31">
              <w:rPr>
                <w:rFonts w:asciiTheme="majorHAnsi" w:eastAsia="Calibri" w:hAnsiTheme="majorHAnsi" w:cstheme="majorHAnsi"/>
              </w:rPr>
              <w:t xml:space="preserve">Responsible, through the director, acquisition career management, for </w:t>
            </w:r>
            <w:r w:rsidRPr="003B1F31">
              <w:rPr>
                <w:rStyle w:val="s1"/>
                <w:rFonts w:asciiTheme="majorHAnsi" w:hAnsiTheme="majorHAnsi" w:cstheme="majorHAnsi"/>
              </w:rPr>
              <w:t>all matters relating to initiatives and other efforts that improve the acquisition workforce in the Navy through education, training and career management</w:t>
            </w:r>
          </w:p>
        </w:tc>
      </w:tr>
      <w:tr w:rsidR="00684398" w:rsidRPr="003B1F3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3B1F31" w:rsidRDefault="00684398" w:rsidP="00684398">
            <w:pPr>
              <w:rPr>
                <w:rFonts w:asciiTheme="majorHAnsi" w:hAnsiTheme="majorHAnsi" w:cstheme="majorHAnsi"/>
              </w:rPr>
            </w:pPr>
            <w:r w:rsidRPr="003B1F31">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684398" w:rsidRPr="003B1F31" w:rsidRDefault="00684398" w:rsidP="00684398">
            <w:pPr>
              <w:ind w:left="72"/>
              <w:jc w:val="center"/>
              <w:rPr>
                <w:rFonts w:asciiTheme="majorHAnsi" w:hAnsiTheme="majorHAnsi" w:cstheme="majorHAnsi"/>
              </w:rPr>
            </w:pPr>
          </w:p>
          <w:p w:rsidR="00684398" w:rsidRPr="003B1F31" w:rsidRDefault="00684398" w:rsidP="00684398">
            <w:pPr>
              <w:ind w:left="72"/>
              <w:jc w:val="center"/>
              <w:rPr>
                <w:rFonts w:asciiTheme="majorHAnsi" w:hAnsiTheme="majorHAnsi" w:cstheme="majorHAnsi"/>
              </w:rPr>
            </w:pPr>
          </w:p>
          <w:p w:rsidR="00684398" w:rsidRPr="003B1F31" w:rsidRDefault="00684398" w:rsidP="00684398">
            <w:pPr>
              <w:ind w:left="72"/>
              <w:jc w:val="center"/>
              <w:rPr>
                <w:rFonts w:asciiTheme="majorHAnsi" w:hAnsiTheme="majorHAnsi" w:cstheme="majorHAnsi"/>
              </w:rPr>
            </w:pPr>
            <w:r w:rsidRPr="003B1F31">
              <w:rPr>
                <w:rFonts w:asciiTheme="majorHAnsi" w:hAnsiTheme="majorHAnsi" w:cstheme="majorHAnsi"/>
              </w:rPr>
              <w:t>[Depends on the policy priorities of the administration]</w:t>
            </w:r>
          </w:p>
          <w:p w:rsidR="00684398" w:rsidRPr="003B1F31" w:rsidRDefault="00684398" w:rsidP="00684398">
            <w:pPr>
              <w:ind w:left="72"/>
              <w:jc w:val="center"/>
              <w:rPr>
                <w:rFonts w:asciiTheme="majorHAnsi" w:hAnsiTheme="majorHAnsi" w:cstheme="majorHAnsi"/>
              </w:rPr>
            </w:pPr>
          </w:p>
          <w:p w:rsidR="00684398" w:rsidRPr="003B1F31" w:rsidRDefault="00684398" w:rsidP="00684398">
            <w:pPr>
              <w:ind w:left="72"/>
              <w:jc w:val="center"/>
              <w:rPr>
                <w:rFonts w:asciiTheme="majorHAnsi" w:hAnsiTheme="majorHAnsi" w:cstheme="majorHAnsi"/>
              </w:rPr>
            </w:pPr>
          </w:p>
        </w:tc>
      </w:tr>
      <w:tr w:rsidR="00684398" w:rsidRPr="003B1F3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3B1F31" w:rsidRDefault="00684398" w:rsidP="00684398">
            <w:pPr>
              <w:jc w:val="center"/>
              <w:rPr>
                <w:rFonts w:asciiTheme="majorHAnsi" w:hAnsiTheme="majorHAnsi" w:cstheme="majorHAnsi"/>
                <w:b/>
              </w:rPr>
            </w:pPr>
            <w:r w:rsidRPr="003B1F31">
              <w:rPr>
                <w:rFonts w:asciiTheme="majorHAnsi" w:hAnsiTheme="majorHAnsi" w:cstheme="majorHAnsi"/>
                <w:b/>
              </w:rPr>
              <w:lastRenderedPageBreak/>
              <w:t>REQUIREMENTS AND COMPETENCIES</w:t>
            </w:r>
          </w:p>
        </w:tc>
      </w:tr>
      <w:tr w:rsidR="009E7BBF" w:rsidRPr="003B1F3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9E7BBF" w:rsidRPr="003B1F31" w:rsidRDefault="009E7BBF" w:rsidP="009E7BBF">
            <w:pPr>
              <w:numPr>
                <w:ilvl w:val="0"/>
                <w:numId w:val="31"/>
              </w:numPr>
              <w:contextualSpacing/>
              <w:rPr>
                <w:rFonts w:asciiTheme="majorHAnsi" w:eastAsia="Calibri" w:hAnsiTheme="majorHAnsi" w:cstheme="majorHAnsi"/>
              </w:rPr>
            </w:pPr>
            <w:r w:rsidRPr="003B1F31">
              <w:rPr>
                <w:rFonts w:asciiTheme="majorHAnsi" w:eastAsia="Calibri" w:hAnsiTheme="majorHAnsi" w:cstheme="majorHAnsi"/>
              </w:rPr>
              <w:t>Appointed from civilian life</w:t>
            </w:r>
          </w:p>
          <w:p w:rsidR="009E7BBF" w:rsidRPr="003B1F31" w:rsidRDefault="009E7BBF" w:rsidP="009E7BBF">
            <w:pPr>
              <w:numPr>
                <w:ilvl w:val="0"/>
                <w:numId w:val="31"/>
              </w:numPr>
              <w:contextualSpacing/>
              <w:rPr>
                <w:rFonts w:asciiTheme="majorHAnsi" w:eastAsia="Calibri" w:hAnsiTheme="majorHAnsi" w:cstheme="majorHAnsi"/>
              </w:rPr>
            </w:pPr>
            <w:r w:rsidRPr="003B1F31">
              <w:rPr>
                <w:rFonts w:asciiTheme="majorHAnsi" w:eastAsia="Calibri" w:hAnsiTheme="majorHAnsi" w:cstheme="majorHAnsi"/>
              </w:rPr>
              <w:t>Extensive leadership and management experience</w:t>
            </w:r>
          </w:p>
          <w:p w:rsidR="009E7BBF" w:rsidRPr="003B1F31" w:rsidRDefault="009E7BBF" w:rsidP="009E7BBF">
            <w:pPr>
              <w:numPr>
                <w:ilvl w:val="0"/>
                <w:numId w:val="31"/>
              </w:numPr>
              <w:contextualSpacing/>
              <w:rPr>
                <w:rFonts w:asciiTheme="majorHAnsi" w:hAnsiTheme="majorHAnsi" w:cstheme="majorHAnsi"/>
              </w:rPr>
            </w:pPr>
            <w:r w:rsidRPr="003B1F31">
              <w:rPr>
                <w:rFonts w:asciiTheme="majorHAnsi" w:hAnsiTheme="majorHAnsi" w:cstheme="majorHAnsi"/>
              </w:rPr>
              <w:t>Strong substantive expertise in military affairs and civil/military relations</w:t>
            </w:r>
          </w:p>
          <w:p w:rsidR="009E7BBF" w:rsidRPr="003B1F31" w:rsidRDefault="009E7BBF" w:rsidP="009E7BBF">
            <w:pPr>
              <w:numPr>
                <w:ilvl w:val="0"/>
                <w:numId w:val="31"/>
              </w:numPr>
              <w:contextualSpacing/>
              <w:rPr>
                <w:rFonts w:asciiTheme="majorHAnsi" w:eastAsia="Calibri" w:hAnsiTheme="majorHAnsi" w:cstheme="majorHAnsi"/>
              </w:rPr>
            </w:pPr>
            <w:r w:rsidRPr="003B1F31">
              <w:rPr>
                <w:rFonts w:asciiTheme="majorHAnsi" w:eastAsia="Calibri" w:hAnsiTheme="majorHAnsi" w:cstheme="majorHAnsi"/>
              </w:rPr>
              <w:t xml:space="preserve">Experience in the Department of Defense, the Armed Services Committee and/or other relevant entities </w:t>
            </w:r>
          </w:p>
          <w:p w:rsidR="009E7BBF" w:rsidRPr="003B1F31" w:rsidRDefault="009E7BBF" w:rsidP="009E7BBF">
            <w:pPr>
              <w:numPr>
                <w:ilvl w:val="0"/>
                <w:numId w:val="31"/>
              </w:numPr>
              <w:contextualSpacing/>
              <w:rPr>
                <w:rFonts w:asciiTheme="majorHAnsi" w:eastAsia="Calibri" w:hAnsiTheme="majorHAnsi" w:cstheme="majorHAnsi"/>
              </w:rPr>
            </w:pPr>
            <w:r w:rsidRPr="003B1F31">
              <w:rPr>
                <w:rFonts w:asciiTheme="majorHAnsi" w:eastAsia="Calibri" w:hAnsiTheme="majorHAnsi" w:cstheme="majorHAnsi"/>
              </w:rPr>
              <w:t>Substantive scientific and/or engineering background</w:t>
            </w:r>
          </w:p>
          <w:p w:rsidR="009E7BBF" w:rsidRPr="003B1F31" w:rsidRDefault="009E7BBF" w:rsidP="009E7BBF">
            <w:pPr>
              <w:numPr>
                <w:ilvl w:val="0"/>
                <w:numId w:val="31"/>
              </w:numPr>
              <w:contextualSpacing/>
              <w:rPr>
                <w:rFonts w:asciiTheme="majorHAnsi" w:eastAsia="Calibri" w:hAnsiTheme="majorHAnsi" w:cstheme="majorHAnsi"/>
                <w:b/>
                <w:bCs/>
                <w:u w:val="single"/>
              </w:rPr>
            </w:pPr>
            <w:r w:rsidRPr="003B1F31">
              <w:rPr>
                <w:rFonts w:asciiTheme="majorHAnsi" w:eastAsia="Calibri" w:hAnsiTheme="majorHAnsi" w:cstheme="majorHAnsi"/>
              </w:rPr>
              <w:t>Background or experience in federal budgeting, acquisition and workforce management</w:t>
            </w:r>
          </w:p>
        </w:tc>
      </w:tr>
      <w:tr w:rsidR="009E7BBF" w:rsidRPr="003B1F3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9E7BBF" w:rsidRPr="003B1F31" w:rsidRDefault="009E7BBF" w:rsidP="009E7BBF">
            <w:pPr>
              <w:contextualSpacing/>
              <w:rPr>
                <w:rFonts w:asciiTheme="majorHAnsi" w:hAnsiTheme="majorHAnsi" w:cstheme="majorHAnsi"/>
              </w:rPr>
            </w:pPr>
            <w:r w:rsidRPr="003B1F3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9E7BBF" w:rsidRPr="003B1F31" w:rsidRDefault="009E7BBF" w:rsidP="009E7BBF">
            <w:pPr>
              <w:numPr>
                <w:ilvl w:val="0"/>
                <w:numId w:val="32"/>
              </w:numPr>
              <w:contextualSpacing/>
              <w:rPr>
                <w:rFonts w:asciiTheme="majorHAnsi" w:eastAsia="Calibri" w:hAnsiTheme="majorHAnsi" w:cstheme="majorHAnsi"/>
              </w:rPr>
            </w:pPr>
            <w:r w:rsidRPr="003B1F31">
              <w:rPr>
                <w:rFonts w:asciiTheme="majorHAnsi" w:eastAsia="Calibri" w:hAnsiTheme="majorHAnsi" w:cstheme="majorHAnsi"/>
              </w:rPr>
              <w:t xml:space="preserve">Strong communication and interpersonal skills </w:t>
            </w:r>
          </w:p>
          <w:p w:rsidR="009E7BBF" w:rsidRPr="003B1F31" w:rsidRDefault="009E7BBF" w:rsidP="009E7BBF">
            <w:pPr>
              <w:numPr>
                <w:ilvl w:val="0"/>
                <w:numId w:val="32"/>
              </w:numPr>
              <w:contextualSpacing/>
              <w:rPr>
                <w:rFonts w:asciiTheme="majorHAnsi" w:eastAsia="Calibri" w:hAnsiTheme="majorHAnsi" w:cstheme="majorHAnsi"/>
                <w:bCs/>
              </w:rPr>
            </w:pPr>
            <w:r w:rsidRPr="003B1F31">
              <w:rPr>
                <w:rFonts w:asciiTheme="majorHAnsi" w:eastAsia="Calibri" w:hAnsiTheme="majorHAnsi" w:cstheme="majorHAnsi"/>
              </w:rPr>
              <w:t>Ability to handle sensitive matters</w:t>
            </w:r>
          </w:p>
          <w:p w:rsidR="009E7BBF" w:rsidRPr="003B1F31" w:rsidRDefault="009E7BBF" w:rsidP="009E7BBF">
            <w:pPr>
              <w:numPr>
                <w:ilvl w:val="0"/>
                <w:numId w:val="32"/>
              </w:numPr>
              <w:contextualSpacing/>
              <w:rPr>
                <w:rFonts w:asciiTheme="majorHAnsi" w:eastAsia="Calibri" w:hAnsiTheme="majorHAnsi" w:cstheme="majorHAnsi"/>
              </w:rPr>
            </w:pPr>
            <w:r w:rsidRPr="003B1F31">
              <w:rPr>
                <w:rFonts w:asciiTheme="majorHAnsi" w:eastAsia="Calibri" w:hAnsiTheme="majorHAnsi" w:cstheme="majorHAnsi"/>
              </w:rPr>
              <w:t>Ability to integrate diverse missions and organizations</w:t>
            </w:r>
          </w:p>
          <w:p w:rsidR="009E7BBF" w:rsidRPr="003B1F31" w:rsidRDefault="009E7BBF" w:rsidP="009E7BBF">
            <w:pPr>
              <w:numPr>
                <w:ilvl w:val="0"/>
                <w:numId w:val="32"/>
              </w:numPr>
              <w:contextualSpacing/>
              <w:rPr>
                <w:rFonts w:asciiTheme="majorHAnsi" w:eastAsia="Calibri" w:hAnsiTheme="majorHAnsi" w:cstheme="majorHAnsi"/>
                <w:bCs/>
              </w:rPr>
            </w:pPr>
            <w:r w:rsidRPr="003B1F31">
              <w:rPr>
                <w:rFonts w:asciiTheme="majorHAnsi" w:eastAsia="Calibri" w:hAnsiTheme="majorHAnsi" w:cstheme="majorHAnsi"/>
              </w:rPr>
              <w:t>Ability to work under high pressure</w:t>
            </w:r>
          </w:p>
        </w:tc>
      </w:tr>
      <w:tr w:rsidR="00684398" w:rsidRPr="003B1F3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3B1F31" w:rsidRDefault="00684398" w:rsidP="00684398">
            <w:pPr>
              <w:jc w:val="center"/>
              <w:rPr>
                <w:rFonts w:asciiTheme="majorHAnsi" w:hAnsiTheme="majorHAnsi" w:cstheme="majorHAnsi"/>
                <w:b/>
              </w:rPr>
            </w:pPr>
            <w:r w:rsidRPr="003B1F31">
              <w:rPr>
                <w:rFonts w:asciiTheme="majorHAnsi" w:hAnsiTheme="majorHAnsi" w:cstheme="majorHAnsi"/>
                <w:b/>
              </w:rPr>
              <w:t>PAST APPOINTEES</w:t>
            </w:r>
          </w:p>
        </w:tc>
      </w:tr>
    </w:tbl>
    <w:tbl>
      <w:tblPr>
        <w:tblStyle w:val="ClutchTable1"/>
        <w:tblW w:w="0" w:type="auto"/>
        <w:tblInd w:w="108" w:type="dxa"/>
        <w:tblCellMar>
          <w:top w:w="58" w:type="dxa"/>
          <w:left w:w="115" w:type="dxa"/>
          <w:bottom w:w="58" w:type="dxa"/>
          <w:right w:w="115" w:type="dxa"/>
        </w:tblCellMar>
        <w:tblLook w:val="04A0" w:firstRow="1" w:lastRow="0" w:firstColumn="1" w:lastColumn="0" w:noHBand="0" w:noVBand="1"/>
      </w:tblPr>
      <w:tblGrid>
        <w:gridCol w:w="9429"/>
      </w:tblGrid>
      <w:tr w:rsidR="009E7BBF" w:rsidRPr="00F41CDF" w:rsidTr="00DB3C5B">
        <w:tc>
          <w:tcPr>
            <w:tcW w:w="9429" w:type="dxa"/>
            <w:tcBorders>
              <w:top w:val="single" w:sz="2" w:space="0" w:color="auto"/>
              <w:left w:val="single" w:sz="2" w:space="0" w:color="auto"/>
              <w:bottom w:val="single" w:sz="2" w:space="0" w:color="auto"/>
              <w:right w:val="single" w:sz="2" w:space="0" w:color="auto"/>
            </w:tcBorders>
          </w:tcPr>
          <w:bookmarkEnd w:id="0"/>
          <w:p w:rsidR="009E7BBF" w:rsidRPr="00990505" w:rsidRDefault="009E7BBF" w:rsidP="00D65052">
            <w:pPr>
              <w:pStyle w:val="p1"/>
              <w:contextualSpacing/>
              <w:rPr>
                <w:rFonts w:ascii="Arial" w:hAnsi="Arial" w:cs="Arial"/>
                <w:color w:val="auto"/>
                <w:sz w:val="22"/>
                <w:szCs w:val="22"/>
              </w:rPr>
            </w:pPr>
            <w:r w:rsidRPr="00990505">
              <w:rPr>
                <w:rFonts w:ascii="Arial" w:hAnsi="Arial" w:cs="Arial"/>
                <w:color w:val="auto"/>
                <w:sz w:val="22"/>
                <w:szCs w:val="22"/>
              </w:rPr>
              <w:t xml:space="preserve">Sean </w:t>
            </w:r>
            <w:proofErr w:type="spellStart"/>
            <w:r w:rsidRPr="00990505">
              <w:rPr>
                <w:rFonts w:ascii="Arial" w:hAnsi="Arial" w:cs="Arial"/>
                <w:color w:val="auto"/>
                <w:sz w:val="22"/>
                <w:szCs w:val="22"/>
              </w:rPr>
              <w:t>Stackley</w:t>
            </w:r>
            <w:proofErr w:type="spellEnd"/>
            <w:r w:rsidRPr="00990505">
              <w:rPr>
                <w:rFonts w:ascii="Arial" w:hAnsi="Arial" w:cs="Arial"/>
                <w:color w:val="auto"/>
                <w:sz w:val="22"/>
                <w:szCs w:val="22"/>
              </w:rPr>
              <w:t xml:space="preserve"> (2008 to </w:t>
            </w:r>
            <w:r w:rsidR="00D65052">
              <w:rPr>
                <w:rFonts w:ascii="Arial" w:hAnsi="Arial" w:cs="Arial"/>
                <w:color w:val="auto"/>
                <w:sz w:val="22"/>
                <w:szCs w:val="22"/>
              </w:rPr>
              <w:t>2017</w:t>
            </w:r>
            <w:r w:rsidRPr="00990505">
              <w:rPr>
                <w:rFonts w:ascii="Arial" w:hAnsi="Arial" w:cs="Arial"/>
                <w:color w:val="auto"/>
                <w:sz w:val="22"/>
                <w:szCs w:val="22"/>
              </w:rPr>
              <w:t xml:space="preserve">) – Professional staff member of the Senate Armed Services Committee, responsible for overseeing Navy and Marine Corps programs, U.S. Transportation Command matters, and related policy for the </w:t>
            </w:r>
            <w:proofErr w:type="spellStart"/>
            <w:r w:rsidRPr="00990505">
              <w:rPr>
                <w:rFonts w:ascii="Arial" w:hAnsi="Arial" w:cs="Arial"/>
                <w:color w:val="auto"/>
                <w:sz w:val="22"/>
                <w:szCs w:val="22"/>
              </w:rPr>
              <w:t>Seapower</w:t>
            </w:r>
            <w:proofErr w:type="spellEnd"/>
            <w:r w:rsidRPr="00990505">
              <w:rPr>
                <w:rFonts w:ascii="Arial" w:hAnsi="Arial" w:cs="Arial"/>
                <w:color w:val="auto"/>
                <w:sz w:val="22"/>
                <w:szCs w:val="22"/>
              </w:rPr>
              <w:t xml:space="preserve"> Subcommittee; Navy Surface Warfare Officer; Program Manager, LPD 17; Production Officer, the USS </w:t>
            </w:r>
            <w:proofErr w:type="spellStart"/>
            <w:r w:rsidRPr="00990505">
              <w:rPr>
                <w:rFonts w:ascii="Arial" w:hAnsi="Arial" w:cs="Arial"/>
                <w:color w:val="auto"/>
                <w:sz w:val="22"/>
                <w:szCs w:val="22"/>
              </w:rPr>
              <w:t>Arleigh</w:t>
            </w:r>
            <w:proofErr w:type="spellEnd"/>
            <w:r w:rsidRPr="00990505">
              <w:rPr>
                <w:rFonts w:ascii="Arial" w:hAnsi="Arial" w:cs="Arial"/>
                <w:color w:val="auto"/>
                <w:sz w:val="22"/>
                <w:szCs w:val="22"/>
              </w:rPr>
              <w:t xml:space="preserve"> Burke (DDG 51); Project Naval Architect, Canadian Patrol Frigate HMCS Halifax (FFH 330)</w:t>
            </w:r>
          </w:p>
        </w:tc>
      </w:tr>
      <w:tr w:rsidR="009E7BBF" w:rsidRPr="00F41CDF" w:rsidTr="00DB3C5B">
        <w:tc>
          <w:tcPr>
            <w:tcW w:w="9429" w:type="dxa"/>
            <w:tcBorders>
              <w:top w:val="single" w:sz="2" w:space="0" w:color="auto"/>
              <w:left w:val="single" w:sz="2" w:space="0" w:color="auto"/>
              <w:bottom w:val="single" w:sz="2" w:space="0" w:color="auto"/>
              <w:right w:val="single" w:sz="2" w:space="0" w:color="auto"/>
            </w:tcBorders>
          </w:tcPr>
          <w:p w:rsidR="009E7BBF" w:rsidRPr="00990505" w:rsidRDefault="009E7BBF" w:rsidP="009E7BBF">
            <w:pPr>
              <w:contextualSpacing/>
              <w:rPr>
                <w:rFonts w:ascii="Arial" w:hAnsi="Arial" w:cs="Arial"/>
              </w:rPr>
            </w:pPr>
            <w:r w:rsidRPr="00990505">
              <w:rPr>
                <w:rFonts w:ascii="Arial" w:hAnsi="Arial" w:cs="Arial"/>
              </w:rPr>
              <w:t xml:space="preserve">John S. </w:t>
            </w:r>
            <w:proofErr w:type="spellStart"/>
            <w:r w:rsidRPr="00990505">
              <w:rPr>
                <w:rFonts w:ascii="Arial" w:hAnsi="Arial" w:cs="Arial"/>
              </w:rPr>
              <w:t>Thackrah</w:t>
            </w:r>
            <w:proofErr w:type="spellEnd"/>
            <w:r w:rsidRPr="00990505">
              <w:rPr>
                <w:rFonts w:ascii="Arial" w:hAnsi="Arial" w:cs="Arial"/>
              </w:rPr>
              <w:t xml:space="preserve"> (2007 to 2008) – Deputy Assistant Secretary for Management and Budget; Chief of Staff to the Assistant Secretary of the Navy; Senior Executive, United Technologies Corporation; Vice President of Commercial Products, Pratt and Whitney; Vice President, Otis Elevator</w:t>
            </w:r>
          </w:p>
        </w:tc>
      </w:tr>
      <w:tr w:rsidR="009E7BBF" w:rsidRPr="00F41CDF" w:rsidTr="00DB3C5B">
        <w:tc>
          <w:tcPr>
            <w:tcW w:w="9429" w:type="dxa"/>
            <w:tcBorders>
              <w:top w:val="single" w:sz="2" w:space="0" w:color="auto"/>
              <w:left w:val="single" w:sz="2" w:space="0" w:color="auto"/>
              <w:bottom w:val="single" w:sz="2" w:space="0" w:color="auto"/>
              <w:right w:val="single" w:sz="2" w:space="0" w:color="auto"/>
            </w:tcBorders>
          </w:tcPr>
          <w:p w:rsidR="009E7BBF" w:rsidRPr="00990505" w:rsidRDefault="009E7BBF" w:rsidP="009E7BBF">
            <w:pPr>
              <w:pStyle w:val="p1"/>
              <w:contextualSpacing/>
              <w:rPr>
                <w:rFonts w:ascii="Arial" w:hAnsi="Arial" w:cs="Arial"/>
                <w:color w:val="auto"/>
                <w:sz w:val="22"/>
                <w:szCs w:val="22"/>
              </w:rPr>
            </w:pPr>
            <w:r w:rsidRPr="00990505">
              <w:rPr>
                <w:rFonts w:ascii="Arial" w:hAnsi="Arial" w:cs="Arial"/>
                <w:color w:val="auto"/>
                <w:sz w:val="22"/>
                <w:szCs w:val="22"/>
              </w:rPr>
              <w:t xml:space="preserve">Delores </w:t>
            </w:r>
            <w:proofErr w:type="spellStart"/>
            <w:r w:rsidRPr="00990505">
              <w:rPr>
                <w:rFonts w:ascii="Arial" w:hAnsi="Arial" w:cs="Arial"/>
                <w:color w:val="auto"/>
                <w:sz w:val="22"/>
                <w:szCs w:val="22"/>
              </w:rPr>
              <w:t>Etter</w:t>
            </w:r>
            <w:proofErr w:type="spellEnd"/>
            <w:r w:rsidRPr="00990505">
              <w:rPr>
                <w:rFonts w:ascii="Arial" w:hAnsi="Arial" w:cs="Arial"/>
                <w:color w:val="auto"/>
                <w:sz w:val="22"/>
                <w:szCs w:val="22"/>
              </w:rPr>
              <w:t xml:space="preserve"> (2004 to 2007) – Faculty, United States Naval Academy faculty; Deputy Under</w:t>
            </w:r>
            <w:r>
              <w:rPr>
                <w:rFonts w:ascii="Arial" w:hAnsi="Arial" w:cs="Arial"/>
                <w:color w:val="auto"/>
                <w:sz w:val="22"/>
                <w:szCs w:val="22"/>
              </w:rPr>
              <w:t>s</w:t>
            </w:r>
            <w:r w:rsidRPr="00990505">
              <w:rPr>
                <w:rFonts w:ascii="Arial" w:hAnsi="Arial" w:cs="Arial"/>
                <w:color w:val="auto"/>
                <w:sz w:val="22"/>
                <w:szCs w:val="22"/>
              </w:rPr>
              <w:t>ecretary of Defense for Science and Technology; Principal U.S. representative to the NATO Research and Technology Board; Professor of Electrical and Computer Engineering, University of Colorado; Faculty member in Electrical and Computer Engineering, University of New Mexico; Associate Vice President for Academic Affairs, University of New Mexico; National Science Foundation Visiting Professor in the Electrical Engineering Department, Stanford University.</w:t>
            </w:r>
          </w:p>
        </w:tc>
      </w:tr>
    </w:tbl>
    <w:p w:rsidR="009E7BBF" w:rsidRPr="00AF7E7D" w:rsidRDefault="009E7BBF" w:rsidP="009E7BBF">
      <w:pPr>
        <w:pStyle w:val="Heading1"/>
        <w:rPr>
          <w:sz w:val="20"/>
          <w:szCs w:val="20"/>
        </w:rPr>
      </w:pPr>
      <w:r w:rsidRPr="00AF7E7D">
        <w:rPr>
          <w:sz w:val="20"/>
          <w:szCs w:val="20"/>
        </w:rPr>
        <w:t>Endnotes</w:t>
      </w:r>
    </w:p>
    <w:p w:rsidR="00224D1E" w:rsidRPr="003B1F31" w:rsidRDefault="009E7BBF">
      <w:r w:rsidRPr="00AF7E7D">
        <w:rPr>
          <w:rFonts w:ascii="Arial" w:hAnsi="Arial" w:cs="Arial"/>
        </w:rPr>
        <w:t>This position description was created wit</w:t>
      </w:r>
      <w:r>
        <w:rPr>
          <w:rFonts w:ascii="Arial" w:hAnsi="Arial" w:cs="Arial"/>
        </w:rPr>
        <w:t xml:space="preserve">h the help of MITRE Corporation, </w:t>
      </w:r>
      <w:r w:rsidRPr="00AF7E7D">
        <w:rPr>
          <w:rFonts w:ascii="Arial" w:hAnsi="Arial" w:cs="Arial"/>
        </w:rPr>
        <w:t>a not-for-profit company that</w:t>
      </w:r>
      <w:r>
        <w:rPr>
          <w:rFonts w:ascii="Arial" w:hAnsi="Arial" w:cs="Arial"/>
        </w:rPr>
        <w:t xml:space="preserve"> </w:t>
      </w:r>
      <w:r w:rsidRPr="00AF7E7D">
        <w:rPr>
          <w:rFonts w:ascii="Arial" w:hAnsi="Arial" w:cs="Arial"/>
        </w:rPr>
        <w:t>provide</w:t>
      </w:r>
      <w:r>
        <w:rPr>
          <w:rFonts w:ascii="Arial" w:hAnsi="Arial" w:cs="Arial"/>
        </w:rPr>
        <w:t>s</w:t>
      </w:r>
      <w:r w:rsidRPr="00AF7E7D">
        <w:rPr>
          <w:rFonts w:ascii="Arial" w:hAnsi="Arial" w:cs="Arial"/>
        </w:rPr>
        <w:t xml:space="preserve"> innovative, practical solutions for some of </w:t>
      </w:r>
      <w:r>
        <w:rPr>
          <w:rFonts w:ascii="Arial" w:hAnsi="Arial" w:cs="Arial"/>
        </w:rPr>
        <w:t>the</w:t>
      </w:r>
      <w:r w:rsidRPr="00AF7E7D">
        <w:rPr>
          <w:rFonts w:ascii="Arial" w:hAnsi="Arial" w:cs="Arial"/>
        </w:rPr>
        <w:t xml:space="preserve"> nation's most critical challenges in defense and intelligence, aviation, civil systems, homeland secu</w:t>
      </w:r>
      <w:r>
        <w:rPr>
          <w:rFonts w:ascii="Arial" w:hAnsi="Arial" w:cs="Arial"/>
        </w:rPr>
        <w:t>rity, the judiciary, healthcare</w:t>
      </w:r>
      <w:r w:rsidRPr="00AF7E7D">
        <w:rPr>
          <w:rFonts w:ascii="Arial" w:hAnsi="Arial" w:cs="Arial"/>
        </w:rPr>
        <w:t xml:space="preserve"> and cybersecurity.</w:t>
      </w:r>
    </w:p>
    <w:sectPr w:rsidR="00224D1E" w:rsidRPr="003B1F31" w:rsidSect="009E7BBF">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BFE" w:rsidRDefault="00374BFE" w:rsidP="001E22F1">
      <w:r>
        <w:separator/>
      </w:r>
    </w:p>
  </w:endnote>
  <w:endnote w:type="continuationSeparator" w:id="0">
    <w:p w:rsidR="00374BFE" w:rsidRDefault="00374BFE" w:rsidP="001E22F1">
      <w:r>
        <w:continuationSeparator/>
      </w:r>
    </w:p>
  </w:endnote>
  <w:endnote w:id="1">
    <w:p w:rsidR="00DB3C5B" w:rsidRDefault="00DB3C5B">
      <w:pPr>
        <w:pStyle w:val="EndnoteText"/>
      </w:pPr>
      <w:r>
        <w:rPr>
          <w:rStyle w:val="EndnoteReference"/>
        </w:rPr>
        <w:endnoteRef/>
      </w:r>
      <w:r w:rsidR="003B1F31">
        <w:t xml:space="preserve"> </w:t>
      </w:r>
      <w:r w:rsidR="00E47885">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BFE" w:rsidRDefault="00374BFE" w:rsidP="001E22F1">
      <w:r>
        <w:separator/>
      </w:r>
    </w:p>
  </w:footnote>
  <w:footnote w:type="continuationSeparator" w:id="0">
    <w:p w:rsidR="00374BFE" w:rsidRDefault="00374BFE"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11"/>
  </w:num>
  <w:num w:numId="4">
    <w:abstractNumId w:val="40"/>
  </w:num>
  <w:num w:numId="5">
    <w:abstractNumId w:val="5"/>
  </w:num>
  <w:num w:numId="6">
    <w:abstractNumId w:val="36"/>
  </w:num>
  <w:num w:numId="7">
    <w:abstractNumId w:val="4"/>
  </w:num>
  <w:num w:numId="8">
    <w:abstractNumId w:val="31"/>
  </w:num>
  <w:num w:numId="9">
    <w:abstractNumId w:val="14"/>
  </w:num>
  <w:num w:numId="10">
    <w:abstractNumId w:val="6"/>
  </w:num>
  <w:num w:numId="11">
    <w:abstractNumId w:val="13"/>
  </w:num>
  <w:num w:numId="12">
    <w:abstractNumId w:val="23"/>
  </w:num>
  <w:num w:numId="13">
    <w:abstractNumId w:val="21"/>
  </w:num>
  <w:num w:numId="14">
    <w:abstractNumId w:val="25"/>
  </w:num>
  <w:num w:numId="15">
    <w:abstractNumId w:val="28"/>
  </w:num>
  <w:num w:numId="16">
    <w:abstractNumId w:val="1"/>
  </w:num>
  <w:num w:numId="17">
    <w:abstractNumId w:val="18"/>
  </w:num>
  <w:num w:numId="18">
    <w:abstractNumId w:val="35"/>
  </w:num>
  <w:num w:numId="19">
    <w:abstractNumId w:val="8"/>
  </w:num>
  <w:num w:numId="20">
    <w:abstractNumId w:val="27"/>
  </w:num>
  <w:num w:numId="21">
    <w:abstractNumId w:val="32"/>
  </w:num>
  <w:num w:numId="22">
    <w:abstractNumId w:val="10"/>
  </w:num>
  <w:num w:numId="23">
    <w:abstractNumId w:val="7"/>
  </w:num>
  <w:num w:numId="24">
    <w:abstractNumId w:val="33"/>
  </w:num>
  <w:num w:numId="25">
    <w:abstractNumId w:val="12"/>
  </w:num>
  <w:num w:numId="26">
    <w:abstractNumId w:val="2"/>
  </w:num>
  <w:num w:numId="27">
    <w:abstractNumId w:val="19"/>
  </w:num>
  <w:num w:numId="28">
    <w:abstractNumId w:val="16"/>
  </w:num>
  <w:num w:numId="29">
    <w:abstractNumId w:val="20"/>
  </w:num>
  <w:num w:numId="30">
    <w:abstractNumId w:val="30"/>
  </w:num>
  <w:num w:numId="31">
    <w:abstractNumId w:val="38"/>
  </w:num>
  <w:num w:numId="32">
    <w:abstractNumId w:val="39"/>
  </w:num>
  <w:num w:numId="33">
    <w:abstractNumId w:val="9"/>
  </w:num>
  <w:num w:numId="34">
    <w:abstractNumId w:val="0"/>
  </w:num>
  <w:num w:numId="35">
    <w:abstractNumId w:val="29"/>
  </w:num>
  <w:num w:numId="36">
    <w:abstractNumId w:val="22"/>
  </w:num>
  <w:num w:numId="37">
    <w:abstractNumId w:val="24"/>
  </w:num>
  <w:num w:numId="38">
    <w:abstractNumId w:val="17"/>
  </w:num>
  <w:num w:numId="39">
    <w:abstractNumId w:val="26"/>
  </w:num>
  <w:num w:numId="40">
    <w:abstractNumId w:val="1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2F42D8"/>
    <w:rsid w:val="0030193E"/>
    <w:rsid w:val="00321F38"/>
    <w:rsid w:val="00330ACB"/>
    <w:rsid w:val="00331394"/>
    <w:rsid w:val="003317A8"/>
    <w:rsid w:val="003353C5"/>
    <w:rsid w:val="003454E5"/>
    <w:rsid w:val="00347F97"/>
    <w:rsid w:val="00354173"/>
    <w:rsid w:val="003616AC"/>
    <w:rsid w:val="00366270"/>
    <w:rsid w:val="00370ED0"/>
    <w:rsid w:val="00374BFE"/>
    <w:rsid w:val="00375A18"/>
    <w:rsid w:val="00386024"/>
    <w:rsid w:val="003910F3"/>
    <w:rsid w:val="0039752D"/>
    <w:rsid w:val="003A0397"/>
    <w:rsid w:val="003A4DD4"/>
    <w:rsid w:val="003A6E33"/>
    <w:rsid w:val="003B1F31"/>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6767F"/>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08CD"/>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5052"/>
    <w:rsid w:val="00D66F40"/>
    <w:rsid w:val="00D7198E"/>
    <w:rsid w:val="00D744FA"/>
    <w:rsid w:val="00D8185C"/>
    <w:rsid w:val="00D8605F"/>
    <w:rsid w:val="00D8690A"/>
    <w:rsid w:val="00D96149"/>
    <w:rsid w:val="00DA36B9"/>
    <w:rsid w:val="00DA387D"/>
    <w:rsid w:val="00DA6CA7"/>
    <w:rsid w:val="00DB3C5B"/>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37858"/>
    <w:rsid w:val="00E40457"/>
    <w:rsid w:val="00E47885"/>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F63E9AA1-5C90-4788-B136-BA6DF0F9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6106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proptis</dc:title>
  <dc:subject/>
  <dc:creator>PARTNERSHIP FOR PUBLIC SERVICE</dc:creator>
  <cp:keywords/>
  <dc:description/>
  <cp:lastModifiedBy>Casey Dennison</cp:lastModifiedBy>
  <cp:revision>5</cp:revision>
  <cp:lastPrinted>2016-07-12T18:00:00Z</cp:lastPrinted>
  <dcterms:created xsi:type="dcterms:W3CDTF">2017-02-17T18:15:00Z</dcterms:created>
  <dcterms:modified xsi:type="dcterms:W3CDTF">2017-08-22T19:07:00Z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